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jc w:val="center"/>
        <w:rPr>
          <w:rFonts w:hint="eastAsia" w:ascii="仿宋_GB2312" w:hAnsi="仿宋_GB2312" w:eastAsia="仿宋_GB2312" w:cs="仿宋_GB2312"/>
          <w:b/>
          <w:bCs/>
          <w:spacing w:val="3"/>
          <w:sz w:val="48"/>
          <w:szCs w:val="48"/>
          <w:lang w:val="en-US" w:eastAsia="zh-CN"/>
        </w:rPr>
      </w:pPr>
    </w:p>
    <w:p>
      <w:pPr>
        <w:spacing w:before="101" w:line="219" w:lineRule="auto"/>
        <w:jc w:val="center"/>
        <w:rPr>
          <w:rFonts w:hint="eastAsia" w:ascii="仿宋_GB2312" w:hAnsi="仿宋_GB2312" w:eastAsia="仿宋_GB2312" w:cs="仿宋_GB2312"/>
          <w:b/>
          <w:bCs/>
          <w:spacing w:val="3"/>
          <w:sz w:val="48"/>
          <w:szCs w:val="48"/>
          <w:lang w:val="en-US" w:eastAsia="zh-CN"/>
        </w:rPr>
      </w:pPr>
    </w:p>
    <w:p>
      <w:pPr>
        <w:spacing w:before="101" w:line="219" w:lineRule="auto"/>
        <w:jc w:val="center"/>
        <w:rPr>
          <w:rFonts w:hint="eastAsia" w:ascii="仿宋_GB2312" w:hAnsi="仿宋_GB2312" w:eastAsia="仿宋_GB2312" w:cs="仿宋_GB2312"/>
          <w:b/>
          <w:bCs/>
          <w:spacing w:val="3"/>
          <w:sz w:val="48"/>
          <w:szCs w:val="48"/>
          <w:lang w:val="en-US" w:eastAsia="zh-CN"/>
        </w:rPr>
      </w:pPr>
    </w:p>
    <w:p>
      <w:pPr>
        <w:spacing w:before="101" w:line="219" w:lineRule="auto"/>
        <w:jc w:val="center"/>
        <w:rPr>
          <w:rFonts w:hint="eastAsia" w:ascii="仿宋_GB2312" w:hAnsi="仿宋_GB2312" w:eastAsia="仿宋_GB2312" w:cs="仿宋_GB2312"/>
          <w:b/>
          <w:bCs/>
          <w:spacing w:val="3"/>
          <w:sz w:val="48"/>
          <w:szCs w:val="48"/>
          <w:lang w:val="en-US" w:eastAsia="zh-CN"/>
        </w:rPr>
      </w:pPr>
    </w:p>
    <w:p>
      <w:pPr>
        <w:spacing w:before="101" w:line="219" w:lineRule="auto"/>
        <w:jc w:val="center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  <w:lang w:val="en-US" w:eastAsia="zh-CN"/>
        </w:rPr>
        <w:t>研究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</w:rPr>
        <w:t>会重大活动管理制度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一、总则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会重大活动的管理，促进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研究会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重大活动的顺利开展，保障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会成员的权益，特制定本《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会重大活动管理制度》。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本制度适用于所有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会重大活动的策划、组织、执行及后续管理的工作。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本制度的核心原则是安全第一、质量优先、效益至上，遵守国家法律法规和社会道德。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二、活动策划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1、研究会重大活动的主题、时间、地点、形式、内容等，应当经过研究会报理事长、法人及上级主管单位审定并公布。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2、研究会重大活动的策划应当是科学、合理、可行的，不能违反国家法律法规和社会道德。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3、研究会重大活动的策划应当是科学、合理、可行的，不能违反国家法律法规和社会道德。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4、研究会重大活动策划可委托专业服务机构或者台作方提供服务，但事先应经过研究会理事长、法人同意。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三、活动组织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1、研究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会重大活动应当由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秘书长负责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，秘书处、财务处配合。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2、活动组织者应当在活动开始前认真准备，确保活动方案、场地、设备、人员等方面均做到位，确保活动的顺利进行。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3、活动组织者应当对安全和意外事故进行科学预防和制度管理，保证活动的安全性。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40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活动组织者应当在活动进行中始终进行安全检查，并及时对问题进行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四、活动执行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1、活动执行应当按照活动方案进行，执行过程中应当遵循活动安全、公平、公正原则，确保活动质量。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  <w:t>活动执行期间参会人员应当遵守活动规则，文明参会，不得违反活动纪律和社会公德。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3、在活动执行过程中，如出现意外、事故等情况，应当立即采取紧急措施及时上报。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五、活动后续管理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1、活动结束后，应当对活动的执行情况进行评估，制定并实施后续管理方案。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2、活动后续管理应当主要包括信息记录、经验总结、财务处理等方面。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3、活动后续管理应当从成果和效益两个方面进行评估并公布、做到公开透明。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六、违规处理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1、对于研究会重大活动中存在的违规行为，应当及时处理。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2、违规行为主要包括不遵守活动规定和危害活动安全等方面。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3、违规行为的处理应当包括口头警告、书警面告、撤销参与活动资格等各种方式。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七、附则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1、本制度自公布起生效。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2、本制度的修改、解释权归协会主席团所有。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3、其它未尽事宜，经过研究会会员大会或理事会讨论通过后，由相关主管部门制定实施细则。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  <w:t>以上是本研究会重大管理制度的全部制度内容，各位会员应该遵照本制度执行，以保障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研究</w:t>
      </w:r>
      <w:r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  <w:t>会重大活动的开展和各会员的合法权益。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浙江省散装水泥与预拌砂浆发展研究会</w:t>
      </w:r>
    </w:p>
    <w:p>
      <w:pPr>
        <w:numPr>
          <w:ilvl w:val="0"/>
          <w:numId w:val="0"/>
        </w:numPr>
        <w:ind w:firstLine="3200" w:firstLineChars="10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2020年6月28日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63" w:firstLine="676" w:firstLineChars="200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TFjMjFiZDlmZjkwMTU1NmU1YjMwMzQ1ZDFjZWUifQ=="/>
  </w:docVars>
  <w:rsids>
    <w:rsidRoot w:val="00000000"/>
    <w:rsid w:val="1DD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2023-09-11T07:00:30Z</dcterms:created>
  <dc:creator>Administrator</dc:creator>
  <cp:lastModifiedBy>天使的微笑</cp:lastModifiedBy>
  <cp:lastPrinted>2023-09-11T07:45:49Z</cp:lastPrinted>
  <dcterms:modified xsi:type="dcterms:W3CDTF">2023-09-11T07:46:02Z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56F5D822D9B74422A565B363EC61BC8A_12</vt:lpwstr>
  </property>
</Properties>
</file>